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62FB" w14:textId="77777777" w:rsidR="00F572B8" w:rsidRPr="00F572B8" w:rsidRDefault="00F572B8" w:rsidP="00F572B8">
      <w:pPr>
        <w:spacing w:after="150" w:line="240" w:lineRule="auto"/>
        <w:jc w:val="center"/>
        <w:rPr>
          <w:rFonts w:ascii="Calibri" w:eastAsia="Times New Roman" w:hAnsi="Calibri" w:cs="Calibri"/>
          <w:color w:val="000080"/>
          <w:sz w:val="28"/>
          <w:szCs w:val="28"/>
        </w:rPr>
      </w:pPr>
      <w:r w:rsidRPr="00F572B8">
        <w:rPr>
          <w:rFonts w:ascii="Calibri" w:eastAsia="Times New Roman" w:hAnsi="Calibri" w:cs="Calibri"/>
          <w:b/>
          <w:bCs/>
          <w:color w:val="000080"/>
          <w:sz w:val="28"/>
          <w:szCs w:val="28"/>
        </w:rPr>
        <w:t>Chapter 14:05</w:t>
      </w:r>
      <w:r w:rsidRPr="00F572B8">
        <w:rPr>
          <w:rFonts w:ascii="Calibri" w:eastAsia="Times New Roman" w:hAnsi="Calibri" w:cs="Calibri"/>
          <w:b/>
          <w:bCs/>
          <w:color w:val="000080"/>
          <w:sz w:val="28"/>
          <w:szCs w:val="28"/>
        </w:rPr>
        <w:br/>
        <w:t>Control of Goods (Import and Export) (Agriculture) Order, 1993</w:t>
      </w:r>
    </w:p>
    <w:p w14:paraId="1AC0E3D8" w14:textId="77777777" w:rsidR="00F572B8" w:rsidRPr="00F572B8" w:rsidRDefault="00F572B8" w:rsidP="00F572B8">
      <w:pPr>
        <w:spacing w:after="150" w:line="240" w:lineRule="auto"/>
        <w:jc w:val="center"/>
        <w:rPr>
          <w:rFonts w:ascii="Calibri" w:eastAsia="Times New Roman" w:hAnsi="Calibri" w:cs="Calibri"/>
          <w:sz w:val="28"/>
          <w:szCs w:val="28"/>
        </w:rPr>
      </w:pPr>
      <w:hyperlink r:id="rId4" w:tooltip="1993_350s" w:history="1">
        <w:r w:rsidRPr="00F572B8">
          <w:rPr>
            <w:rFonts w:ascii="Calibri" w:eastAsia="Times New Roman" w:hAnsi="Calibri" w:cs="Calibri"/>
            <w:i/>
            <w:iCs/>
            <w:color w:val="0000FF"/>
            <w:sz w:val="28"/>
            <w:szCs w:val="28"/>
            <w:u w:val="single"/>
          </w:rPr>
          <w:t>S. I. 350 of 1993</w:t>
        </w:r>
      </w:hyperlink>
    </w:p>
    <w:p w14:paraId="74F192D5"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i/>
          <w:iCs/>
          <w:sz w:val="28"/>
          <w:szCs w:val="28"/>
        </w:rPr>
        <w:t>Amended by S.I.s 142/96 and 146/97</w:t>
      </w:r>
    </w:p>
    <w:p w14:paraId="729AEC8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 xml:space="preserve">IT is hereby notified that the Minister of Lands, Agriculture and Water Development has, in terms of section 3 of the Control of Goods (Import and Export) (Agriculture) Regulations, 1965, published in Rhodesia Government Notice 656 of 1965, made the following order:— </w:t>
      </w:r>
    </w:p>
    <w:p w14:paraId="3C70569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1</w:t>
      </w:r>
      <w:r w:rsidRPr="00F572B8">
        <w:rPr>
          <w:rFonts w:ascii="Calibri" w:eastAsia="Times New Roman" w:hAnsi="Calibri" w:cs="Calibri"/>
          <w:sz w:val="28"/>
          <w:szCs w:val="28"/>
        </w:rPr>
        <w:t>.  This order may be cited as the Control of Goods (Import and Export) (Agriculture) Order, 1993.</w:t>
      </w:r>
    </w:p>
    <w:p w14:paraId="3CB712E9" w14:textId="77777777" w:rsidR="00F572B8" w:rsidRPr="00F572B8" w:rsidRDefault="00F572B8" w:rsidP="00F572B8">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572B8">
        <w:rPr>
          <w:rFonts w:ascii="Calibri" w:eastAsia="Times New Roman" w:hAnsi="Calibri" w:cs="Calibri"/>
          <w:color w:val="808080"/>
        </w:rPr>
        <w:t>Editor’s Note : This Order was repealed and substituted by SI 153 of 2007 on the 6</w:t>
      </w:r>
      <w:r w:rsidRPr="00F572B8">
        <w:rPr>
          <w:rFonts w:ascii="Calibri" w:eastAsia="Times New Roman" w:hAnsi="Calibri" w:cs="Calibri"/>
          <w:color w:val="808080"/>
          <w:sz w:val="20"/>
          <w:szCs w:val="20"/>
          <w:vertAlign w:val="superscript"/>
        </w:rPr>
        <w:t>th</w:t>
      </w:r>
      <w:r w:rsidRPr="00F572B8">
        <w:rPr>
          <w:rFonts w:ascii="Calibri" w:eastAsia="Times New Roman" w:hAnsi="Calibri" w:cs="Calibri"/>
          <w:color w:val="808080"/>
        </w:rPr>
        <w:t xml:space="preserve"> July, 2007: and then declared to remain in force by SI 153 of 2007 gazetted on the 27</w:t>
      </w:r>
      <w:r w:rsidRPr="00F572B8">
        <w:rPr>
          <w:rFonts w:ascii="Calibri" w:eastAsia="Times New Roman" w:hAnsi="Calibri" w:cs="Calibri"/>
          <w:color w:val="808080"/>
          <w:sz w:val="20"/>
          <w:szCs w:val="20"/>
          <w:vertAlign w:val="superscript"/>
        </w:rPr>
        <w:t>th</w:t>
      </w:r>
      <w:r w:rsidRPr="00F572B8">
        <w:rPr>
          <w:rFonts w:ascii="Calibri" w:eastAsia="Times New Roman" w:hAnsi="Calibri" w:cs="Calibri"/>
          <w:color w:val="808080"/>
        </w:rPr>
        <w:t xml:space="preserve"> July, 2007</w:t>
      </w:r>
    </w:p>
    <w:p w14:paraId="565D3AA0"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2</w:t>
      </w:r>
      <w:r w:rsidRPr="00F572B8">
        <w:rPr>
          <w:rFonts w:ascii="Calibri" w:eastAsia="Times New Roman" w:hAnsi="Calibri" w:cs="Calibri"/>
          <w:sz w:val="28"/>
          <w:szCs w:val="28"/>
        </w:rPr>
        <w:t>.  In this order—</w:t>
      </w:r>
    </w:p>
    <w:p w14:paraId="519EFEF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w:t>
      </w:r>
      <w:r w:rsidRPr="00F572B8">
        <w:rPr>
          <w:rFonts w:ascii="Calibri" w:eastAsia="Times New Roman" w:hAnsi="Calibri" w:cs="Calibri"/>
          <w:b/>
          <w:bCs/>
          <w:sz w:val="28"/>
          <w:szCs w:val="28"/>
        </w:rPr>
        <w:t>bee-keeping accessories and appliances</w:t>
      </w:r>
      <w:r w:rsidRPr="00F572B8">
        <w:rPr>
          <w:rFonts w:ascii="Calibri" w:eastAsia="Times New Roman" w:hAnsi="Calibri" w:cs="Calibri"/>
          <w:sz w:val="28"/>
          <w:szCs w:val="28"/>
        </w:rPr>
        <w:t>” does not include any container of honey; “</w:t>
      </w:r>
      <w:r w:rsidRPr="00F572B8">
        <w:rPr>
          <w:rFonts w:ascii="Calibri" w:eastAsia="Times New Roman" w:hAnsi="Calibri" w:cs="Calibri"/>
          <w:b/>
          <w:bCs/>
          <w:sz w:val="28"/>
          <w:szCs w:val="28"/>
        </w:rPr>
        <w:t>ice-cream mix</w:t>
      </w:r>
      <w:r w:rsidRPr="00F572B8">
        <w:rPr>
          <w:rFonts w:ascii="Calibri" w:eastAsia="Times New Roman" w:hAnsi="Calibri" w:cs="Calibri"/>
          <w:sz w:val="28"/>
          <w:szCs w:val="28"/>
        </w:rPr>
        <w:t>” includes any mixture, whether in powder or other form, suitable for manufacture into ice-cream with or without the addition of other ingredients;</w:t>
      </w:r>
    </w:p>
    <w:p w14:paraId="5BA91B3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w:t>
      </w:r>
      <w:r w:rsidRPr="00F572B8">
        <w:rPr>
          <w:rFonts w:ascii="Calibri" w:eastAsia="Times New Roman" w:hAnsi="Calibri" w:cs="Calibri"/>
          <w:b/>
          <w:bCs/>
          <w:sz w:val="28"/>
          <w:szCs w:val="28"/>
        </w:rPr>
        <w:t>secretary</w:t>
      </w:r>
      <w:r w:rsidRPr="00F572B8">
        <w:rPr>
          <w:rFonts w:ascii="Calibri" w:eastAsia="Times New Roman" w:hAnsi="Calibri" w:cs="Calibri"/>
          <w:sz w:val="28"/>
          <w:szCs w:val="28"/>
        </w:rPr>
        <w:t>” means the Secretary for Lands, Agriculture and Water Development;</w:t>
      </w:r>
    </w:p>
    <w:p w14:paraId="01859E4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w:t>
      </w:r>
      <w:r w:rsidRPr="00F572B8">
        <w:rPr>
          <w:rFonts w:ascii="Calibri" w:eastAsia="Times New Roman" w:hAnsi="Calibri" w:cs="Calibri"/>
          <w:b/>
          <w:bCs/>
          <w:sz w:val="28"/>
          <w:szCs w:val="28"/>
        </w:rPr>
        <w:t>specified country</w:t>
      </w:r>
      <w:r w:rsidRPr="00F572B8">
        <w:rPr>
          <w:rFonts w:ascii="Calibri" w:eastAsia="Times New Roman" w:hAnsi="Calibri" w:cs="Calibri"/>
          <w:sz w:val="28"/>
          <w:szCs w:val="28"/>
        </w:rPr>
        <w:t>” means Angola, Botswana, Lesotho, Malawi, Mozambique, Namibia, South Africa, Swaziland or Zambia.</w:t>
      </w:r>
    </w:p>
    <w:p w14:paraId="7E16552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w:t>
      </w:r>
      <w:r w:rsidRPr="00F572B8">
        <w:rPr>
          <w:rFonts w:ascii="Calibri" w:eastAsia="Times New Roman" w:hAnsi="Calibri" w:cs="Calibri"/>
          <w:b/>
          <w:bCs/>
          <w:sz w:val="28"/>
          <w:szCs w:val="28"/>
        </w:rPr>
        <w:t>the Animal Health (Import) Regulations</w:t>
      </w:r>
      <w:r w:rsidRPr="00F572B8">
        <w:rPr>
          <w:rFonts w:ascii="Calibri" w:eastAsia="Times New Roman" w:hAnsi="Calibri" w:cs="Calibri"/>
          <w:sz w:val="28"/>
          <w:szCs w:val="28"/>
        </w:rPr>
        <w:t xml:space="preserve">” means the Animal Health (Import) Regulations, 1989, published in </w:t>
      </w:r>
      <w:hyperlink r:id="rId5" w:tooltip="1989_57s" w:history="1">
        <w:r w:rsidRPr="00F572B8">
          <w:rPr>
            <w:rFonts w:ascii="Calibri" w:eastAsia="Times New Roman" w:hAnsi="Calibri" w:cs="Calibri"/>
            <w:color w:val="0000FF"/>
            <w:sz w:val="28"/>
            <w:szCs w:val="28"/>
            <w:u w:val="single"/>
          </w:rPr>
          <w:t>Statutory Instrument 57 of 1989</w:t>
        </w:r>
      </w:hyperlink>
      <w:r w:rsidRPr="00F572B8">
        <w:rPr>
          <w:rFonts w:ascii="Calibri" w:eastAsia="Times New Roman" w:hAnsi="Calibri" w:cs="Calibri"/>
          <w:sz w:val="28"/>
          <w:szCs w:val="28"/>
        </w:rPr>
        <w:t>;</w:t>
      </w:r>
    </w:p>
    <w:p w14:paraId="39CD6B9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w:t>
      </w:r>
      <w:r w:rsidRPr="00F572B8">
        <w:rPr>
          <w:rFonts w:ascii="Calibri" w:eastAsia="Times New Roman" w:hAnsi="Calibri" w:cs="Calibri"/>
          <w:b/>
          <w:bCs/>
          <w:sz w:val="28"/>
          <w:szCs w:val="28"/>
        </w:rPr>
        <w:t>unmanufactured tobacco</w:t>
      </w:r>
      <w:r w:rsidRPr="00F572B8">
        <w:rPr>
          <w:rFonts w:ascii="Calibri" w:eastAsia="Times New Roman" w:hAnsi="Calibri" w:cs="Calibri"/>
          <w:sz w:val="28"/>
          <w:szCs w:val="28"/>
        </w:rPr>
        <w:t>” means tobacco which has not been subject to any process or treatment, other than—</w:t>
      </w:r>
    </w:p>
    <w:p w14:paraId="18A5950A"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baling or packing; or</w:t>
      </w:r>
    </w:p>
    <w:p w14:paraId="23536CE9"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the process of treatment known in the usage of the trade as butting\, thrashing or stripping; or</w:t>
      </w:r>
    </w:p>
    <w:p w14:paraId="5285FD09"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the process or treatment known in the usage of the trade as redrying.</w:t>
      </w:r>
    </w:p>
    <w:p w14:paraId="79492CA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3</w:t>
      </w:r>
      <w:r w:rsidRPr="00F572B8">
        <w:rPr>
          <w:rFonts w:ascii="Calibri" w:eastAsia="Times New Roman" w:hAnsi="Calibri" w:cs="Calibri"/>
          <w:sz w:val="28"/>
          <w:szCs w:val="28"/>
        </w:rPr>
        <w:t xml:space="preserve">.  No person shall import into Zimbabwe from any country, any bottle, can, jar or other receptacle which has been used solely for storing or transporting honey or unprocessed royal jelly which honey or jelly was manufactured or produced in any </w:t>
      </w:r>
      <w:r w:rsidRPr="00F572B8">
        <w:rPr>
          <w:rFonts w:ascii="Calibri" w:eastAsia="Times New Roman" w:hAnsi="Calibri" w:cs="Calibri"/>
          <w:sz w:val="28"/>
          <w:szCs w:val="28"/>
        </w:rPr>
        <w:lastRenderedPageBreak/>
        <w:t>country other than a specified country unless such bottle, can, jar or other receptacle has been sterilised after such use.</w:t>
      </w:r>
    </w:p>
    <w:p w14:paraId="0743734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4</w:t>
      </w:r>
      <w:r w:rsidRPr="00F572B8">
        <w:rPr>
          <w:rFonts w:ascii="Calibri" w:eastAsia="Times New Roman" w:hAnsi="Calibri" w:cs="Calibri"/>
          <w:sz w:val="28"/>
          <w:szCs w:val="28"/>
        </w:rPr>
        <w:t xml:space="preserve">.  (1)  Subject to </w:t>
      </w:r>
      <w:hyperlink r:id="rId6" w:anchor="4.2" w:tooltip="#4.2" w:history="1">
        <w:r w:rsidRPr="00F572B8">
          <w:rPr>
            <w:rFonts w:ascii="Calibri" w:eastAsia="Times New Roman" w:hAnsi="Calibri" w:cs="Calibri"/>
            <w:color w:val="0000FF"/>
            <w:sz w:val="28"/>
            <w:szCs w:val="28"/>
            <w:u w:val="single"/>
          </w:rPr>
          <w:t>subsection (2)</w:t>
        </w:r>
      </w:hyperlink>
      <w:r w:rsidRPr="00F572B8">
        <w:rPr>
          <w:rFonts w:ascii="Calibri" w:eastAsia="Times New Roman" w:hAnsi="Calibri" w:cs="Calibri"/>
          <w:sz w:val="28"/>
          <w:szCs w:val="28"/>
        </w:rPr>
        <w:t xml:space="preserve">, no person shall import into Zimbabwe, except in accordance with the terms and conditions of a permit issued under </w:t>
      </w:r>
      <w:hyperlink r:id="rId7" w:anchor="6" w:tooltip="#6" w:history="1">
        <w:r w:rsidRPr="00F572B8">
          <w:rPr>
            <w:rFonts w:ascii="Calibri" w:eastAsia="Times New Roman" w:hAnsi="Calibri" w:cs="Calibri"/>
            <w:color w:val="0000FF"/>
            <w:sz w:val="28"/>
            <w:szCs w:val="28"/>
            <w:u w:val="single"/>
          </w:rPr>
          <w:t>section 6</w:t>
        </w:r>
      </w:hyperlink>
      <w:r w:rsidRPr="00F572B8">
        <w:rPr>
          <w:rFonts w:ascii="Calibri" w:eastAsia="Times New Roman" w:hAnsi="Calibri" w:cs="Calibri"/>
          <w:sz w:val="28"/>
          <w:szCs w:val="28"/>
        </w:rPr>
        <w:t>, any goods listed in the First Schedule.</w:t>
      </w:r>
    </w:p>
    <w:p w14:paraId="41A9B4C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  </w:t>
      </w:r>
      <w:hyperlink r:id="rId8" w:anchor="4.1" w:tooltip="#4.1" w:history="1">
        <w:r w:rsidRPr="00F572B8">
          <w:rPr>
            <w:rFonts w:ascii="Calibri" w:eastAsia="Times New Roman" w:hAnsi="Calibri" w:cs="Calibri"/>
            <w:color w:val="0000FF"/>
            <w:sz w:val="28"/>
            <w:szCs w:val="28"/>
            <w:u w:val="single"/>
          </w:rPr>
          <w:t>Subsection (1)</w:t>
        </w:r>
      </w:hyperlink>
      <w:r w:rsidRPr="00F572B8">
        <w:rPr>
          <w:rFonts w:ascii="Calibri" w:eastAsia="Times New Roman" w:hAnsi="Calibri" w:cs="Calibri"/>
          <w:sz w:val="28"/>
          <w:szCs w:val="28"/>
        </w:rPr>
        <w:t>, shall not apply in relation to—</w:t>
      </w:r>
    </w:p>
    <w:p w14:paraId="2688C4D5"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any goods other than wheat in the grain, what bran, wheat gland, wheat pollard and bread which are in transit through Zimbabwe to a place beyond the borders thereof</w:t>
      </w:r>
    </w:p>
    <w:p w14:paraId="67F3DBFE"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any goods other than bees, unmanufactured bees-wax, foundation comb, honey, including unprocessed royal jelly, used bee-hives, used bee-keeping accessories and appliances produced or manufactured in any country other than a specified country which are imported into Zimbabwe-</w:t>
      </w:r>
    </w:p>
    <w:p w14:paraId="114B9D75" w14:textId="77777777" w:rsidR="00F572B8" w:rsidRPr="00F572B8" w:rsidRDefault="00F572B8" w:rsidP="00F572B8">
      <w:pPr>
        <w:spacing w:after="150" w:line="240" w:lineRule="auto"/>
        <w:ind w:left="1440"/>
        <w:rPr>
          <w:rFonts w:ascii="Calibri" w:eastAsia="Times New Roman" w:hAnsi="Calibri" w:cs="Calibri"/>
          <w:sz w:val="28"/>
          <w:szCs w:val="28"/>
        </w:rPr>
      </w:pPr>
      <w:r w:rsidRPr="00F572B8">
        <w:rPr>
          <w:rFonts w:ascii="Calibri" w:eastAsia="Times New Roman" w:hAnsi="Calibri" w:cs="Calibri"/>
          <w:sz w:val="28"/>
          <w:szCs w:val="28"/>
        </w:rPr>
        <w:t>(i)  by a person or family residing in Zimbabwe for his or its personal domestic consumption and not for sale or disposal to any other person; or</w:t>
      </w:r>
    </w:p>
    <w:p w14:paraId="1CE4407D" w14:textId="77777777" w:rsidR="00F572B8" w:rsidRPr="00F572B8" w:rsidRDefault="00F572B8" w:rsidP="00F572B8">
      <w:pPr>
        <w:spacing w:after="150" w:line="240" w:lineRule="auto"/>
        <w:ind w:left="1440"/>
        <w:rPr>
          <w:rFonts w:ascii="Calibri" w:eastAsia="Times New Roman" w:hAnsi="Calibri" w:cs="Calibri"/>
          <w:sz w:val="28"/>
          <w:szCs w:val="28"/>
        </w:rPr>
      </w:pPr>
      <w:r w:rsidRPr="00F572B8">
        <w:rPr>
          <w:rFonts w:ascii="Calibri" w:eastAsia="Times New Roman" w:hAnsi="Calibri" w:cs="Calibri"/>
          <w:sz w:val="28"/>
          <w:szCs w:val="28"/>
        </w:rPr>
        <w:t>(ii)  as a bona fide gift from a person residing outside Zimbabwe to a person or family residing in Zimbabwe;</w:t>
      </w:r>
    </w:p>
    <w:p w14:paraId="7B8AAA9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if the value of such goods does not exceed fifty dollars or, where goods of the same class are imported into Zimbabwe by the same family more than once in any calendar month, if the aggregate value of such goods imported into Zimbabwe during that calendar month does not exceed fifty dollars.</w:t>
      </w:r>
    </w:p>
    <w:p w14:paraId="11C0338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5</w:t>
      </w:r>
      <w:r w:rsidRPr="00F572B8">
        <w:rPr>
          <w:rFonts w:ascii="Calibri" w:eastAsia="Times New Roman" w:hAnsi="Calibri" w:cs="Calibri"/>
          <w:sz w:val="28"/>
          <w:szCs w:val="28"/>
        </w:rPr>
        <w:t xml:space="preserve">.  (1)  Subject to </w:t>
      </w:r>
      <w:hyperlink r:id="rId9" w:anchor="5.2" w:tooltip="#5.2" w:history="1">
        <w:r w:rsidRPr="00F572B8">
          <w:rPr>
            <w:rFonts w:ascii="Calibri" w:eastAsia="Times New Roman" w:hAnsi="Calibri" w:cs="Calibri"/>
            <w:color w:val="0000FF"/>
            <w:sz w:val="28"/>
            <w:szCs w:val="28"/>
            <w:u w:val="single"/>
          </w:rPr>
          <w:t>subsection (2)</w:t>
        </w:r>
      </w:hyperlink>
      <w:r w:rsidRPr="00F572B8">
        <w:rPr>
          <w:rFonts w:ascii="Calibri" w:eastAsia="Times New Roman" w:hAnsi="Calibri" w:cs="Calibri"/>
          <w:sz w:val="28"/>
          <w:szCs w:val="28"/>
        </w:rPr>
        <w:t xml:space="preserve">, no person shall export from Zimbabwe, except in accordance with the terms and conditions of a permit issued under </w:t>
      </w:r>
      <w:hyperlink r:id="rId10" w:anchor="6" w:tooltip="#6" w:history="1">
        <w:r w:rsidRPr="00F572B8">
          <w:rPr>
            <w:rFonts w:ascii="Calibri" w:eastAsia="Times New Roman" w:hAnsi="Calibri" w:cs="Calibri"/>
            <w:color w:val="0000FF"/>
            <w:sz w:val="28"/>
            <w:szCs w:val="28"/>
            <w:u w:val="single"/>
          </w:rPr>
          <w:t>section 6</w:t>
        </w:r>
      </w:hyperlink>
      <w:r w:rsidRPr="00F572B8">
        <w:rPr>
          <w:rFonts w:ascii="Calibri" w:eastAsia="Times New Roman" w:hAnsi="Calibri" w:cs="Calibri"/>
          <w:sz w:val="28"/>
          <w:szCs w:val="28"/>
        </w:rPr>
        <w:t>, any goods listed in the Second Schedule.</w:t>
      </w:r>
    </w:p>
    <w:p w14:paraId="1584E06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  </w:t>
      </w:r>
      <w:hyperlink r:id="rId11" w:anchor="5.1" w:tooltip="#5.1" w:history="1">
        <w:r w:rsidRPr="00F572B8">
          <w:rPr>
            <w:rFonts w:ascii="Calibri" w:eastAsia="Times New Roman" w:hAnsi="Calibri" w:cs="Calibri"/>
            <w:color w:val="0000FF"/>
            <w:sz w:val="28"/>
            <w:szCs w:val="28"/>
            <w:u w:val="single"/>
          </w:rPr>
          <w:t>Subsection (1)</w:t>
        </w:r>
      </w:hyperlink>
      <w:r w:rsidRPr="00F572B8">
        <w:rPr>
          <w:rFonts w:ascii="Calibri" w:eastAsia="Times New Roman" w:hAnsi="Calibri" w:cs="Calibri"/>
          <w:sz w:val="28"/>
          <w:szCs w:val="28"/>
        </w:rPr>
        <w:t xml:space="preserve"> shall not apply in relation to any goods other than wheat in the grain, wheat bran, wheat gland, wheat pollard and bread which are in the course of transit through Zimbabwe to a place beyond the borders thereof.</w:t>
      </w:r>
    </w:p>
    <w:p w14:paraId="25A2025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6</w:t>
      </w:r>
      <w:r w:rsidRPr="00F572B8">
        <w:rPr>
          <w:rFonts w:ascii="Calibri" w:eastAsia="Times New Roman" w:hAnsi="Calibri" w:cs="Calibri"/>
          <w:sz w:val="28"/>
          <w:szCs w:val="28"/>
        </w:rPr>
        <w:t>.  The Secretary may issue a permit authorising, subject to this order and any other law in force in Zimbabwe—</w:t>
      </w:r>
    </w:p>
    <w:p w14:paraId="5340E0E1"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the import into Zimbabwe of any goods listed in the First Schedule;</w:t>
      </w:r>
    </w:p>
    <w:p w14:paraId="7AFFFBB0"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the export from Zimbabwe of any goods listed in the Schedule;</w:t>
      </w:r>
    </w:p>
    <w:p w14:paraId="49679AF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lastRenderedPageBreak/>
        <w:t>on such terms and conditions as may be specified in or attached to the permit.</w:t>
      </w:r>
    </w:p>
    <w:p w14:paraId="26B1556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7</w:t>
      </w:r>
      <w:r w:rsidRPr="00F572B8">
        <w:rPr>
          <w:rFonts w:ascii="Calibri" w:eastAsia="Times New Roman" w:hAnsi="Calibri" w:cs="Calibri"/>
          <w:sz w:val="28"/>
          <w:szCs w:val="28"/>
        </w:rPr>
        <w:t xml:space="preserve">.  An application for the issue of a permit under this order shall be made in writing and subject to </w:t>
      </w:r>
      <w:hyperlink r:id="rId12" w:anchor="8" w:tooltip="#8" w:history="1">
        <w:r w:rsidRPr="00F572B8">
          <w:rPr>
            <w:rFonts w:ascii="Calibri" w:eastAsia="Times New Roman" w:hAnsi="Calibri" w:cs="Calibri"/>
            <w:color w:val="0000FF"/>
            <w:sz w:val="28"/>
            <w:szCs w:val="28"/>
            <w:u w:val="single"/>
          </w:rPr>
          <w:t>section 8</w:t>
        </w:r>
      </w:hyperlink>
      <w:r w:rsidRPr="00F572B8">
        <w:rPr>
          <w:rFonts w:ascii="Calibri" w:eastAsia="Times New Roman" w:hAnsi="Calibri" w:cs="Calibri"/>
          <w:sz w:val="28"/>
          <w:szCs w:val="28"/>
        </w:rPr>
        <w:t>, shall be addressed to the Secretary, Ministry of Lands, Agriculture and Water Development, Private Bag 7701, Causeway, Harare.</w:t>
      </w:r>
    </w:p>
    <w:p w14:paraId="7C25BEB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8</w:t>
      </w:r>
      <w:r w:rsidRPr="00F572B8">
        <w:rPr>
          <w:rFonts w:ascii="Calibri" w:eastAsia="Times New Roman" w:hAnsi="Calibri" w:cs="Calibri"/>
          <w:sz w:val="28"/>
          <w:szCs w:val="28"/>
        </w:rPr>
        <w:t>.  Where a permit is required in accordance with this order and also in accordance with the Animal Health (Import) Regulations, to authorise the import into Zimbabwe of the same goods—</w:t>
      </w:r>
    </w:p>
    <w:p w14:paraId="4F13113B"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an application for the issue of a permit in terms of this order shall be deemed to be an application for the issue of a permit in terms of the Animal Health (Import) Regulations;</w:t>
      </w:r>
    </w:p>
    <w:p w14:paraId="2988E3AB"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if the Secretary issues a permit, he shall thereupon forward the permit and the application to the appropriate person authorised to issue a permit in terms of the Animal Health (Import) Regulations to be dealt with by such person in accordance with such regulations unless—</w:t>
      </w:r>
    </w:p>
    <w:p w14:paraId="0392EBCB" w14:textId="77777777" w:rsidR="00F572B8" w:rsidRPr="00F572B8" w:rsidRDefault="00F572B8" w:rsidP="00F572B8">
      <w:pPr>
        <w:spacing w:after="150" w:line="240" w:lineRule="auto"/>
        <w:ind w:left="1440"/>
        <w:rPr>
          <w:rFonts w:ascii="Calibri" w:eastAsia="Times New Roman" w:hAnsi="Calibri" w:cs="Calibri"/>
          <w:sz w:val="28"/>
          <w:szCs w:val="28"/>
        </w:rPr>
      </w:pPr>
      <w:r w:rsidRPr="00F572B8">
        <w:rPr>
          <w:rFonts w:ascii="Calibri" w:eastAsia="Times New Roman" w:hAnsi="Calibri" w:cs="Calibri"/>
          <w:sz w:val="28"/>
          <w:szCs w:val="28"/>
        </w:rPr>
        <w:t>(i)  he is satisfied that the person authorised to issue a permit in terms of the Animal Health (Import) Regulations has already issued a permit which is in force; or</w:t>
      </w:r>
    </w:p>
    <w:p w14:paraId="366C87F7" w14:textId="77777777" w:rsidR="00F572B8" w:rsidRPr="00F572B8" w:rsidRDefault="00F572B8" w:rsidP="00F572B8">
      <w:pPr>
        <w:spacing w:after="150" w:line="240" w:lineRule="auto"/>
        <w:ind w:left="1440"/>
        <w:rPr>
          <w:rFonts w:ascii="Calibri" w:eastAsia="Times New Roman" w:hAnsi="Calibri" w:cs="Calibri"/>
          <w:sz w:val="28"/>
          <w:szCs w:val="28"/>
        </w:rPr>
      </w:pPr>
      <w:r w:rsidRPr="00F572B8">
        <w:rPr>
          <w:rFonts w:ascii="Calibri" w:eastAsia="Times New Roman" w:hAnsi="Calibri" w:cs="Calibri"/>
          <w:sz w:val="28"/>
          <w:szCs w:val="28"/>
        </w:rPr>
        <w:t>(ii)  the applicant specifically requests otherwise;</w:t>
      </w:r>
    </w:p>
    <w:p w14:paraId="7CA8D190"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the Secretary shall not issue a permit under this order, if he is satisfied that the person authorised to issue a permit in terms of the Animal Health (Import) Regulations has already refused to issue a permit;</w:t>
      </w:r>
    </w:p>
    <w:p w14:paraId="737C8269"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(d)  if the Secretary issues a permit under this order after being furnished with a permit issued by the person authorised to issue a permit in terms of the Animal Health (Import) Regulations which is in force, he shall thereupon forward both permits to the applicant.</w:t>
      </w:r>
    </w:p>
    <w:p w14:paraId="0AA3F527"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9</w:t>
      </w:r>
      <w:r w:rsidRPr="00F572B8">
        <w:rPr>
          <w:rFonts w:ascii="Calibri" w:eastAsia="Times New Roman" w:hAnsi="Calibri" w:cs="Calibri"/>
          <w:sz w:val="28"/>
          <w:szCs w:val="28"/>
        </w:rPr>
        <w:t xml:space="preserve">.  (1)  The Secretary may, by notice in writing to a permit holder, revoke a permit issued by him under </w:t>
      </w:r>
      <w:hyperlink r:id="rId13" w:anchor="6" w:tooltip="#6" w:history="1">
        <w:r w:rsidRPr="00F572B8">
          <w:rPr>
            <w:rFonts w:ascii="Calibri" w:eastAsia="Times New Roman" w:hAnsi="Calibri" w:cs="Calibri"/>
            <w:color w:val="0000FF"/>
            <w:sz w:val="28"/>
            <w:szCs w:val="28"/>
            <w:u w:val="single"/>
          </w:rPr>
          <w:t>section 6</w:t>
        </w:r>
      </w:hyperlink>
      <w:r w:rsidRPr="00F572B8">
        <w:rPr>
          <w:rFonts w:ascii="Calibri" w:eastAsia="Times New Roman" w:hAnsi="Calibri" w:cs="Calibri"/>
          <w:sz w:val="28"/>
          <w:szCs w:val="28"/>
        </w:rPr>
        <w:t xml:space="preserve"> if the permit holder has failed to comply with this order or if any statement made in the application for a permit is found to be inaccurate or misleading.</w:t>
      </w:r>
    </w:p>
    <w:p w14:paraId="4F00882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 xml:space="preserve">(2)  A permit revoked in terms of </w:t>
      </w:r>
      <w:hyperlink r:id="rId14" w:anchor="9.1" w:tooltip="#9.1" w:history="1">
        <w:r w:rsidRPr="00F572B8">
          <w:rPr>
            <w:rFonts w:ascii="Calibri" w:eastAsia="Times New Roman" w:hAnsi="Calibri" w:cs="Calibri"/>
            <w:color w:val="0000FF"/>
            <w:sz w:val="28"/>
            <w:szCs w:val="28"/>
            <w:u w:val="single"/>
          </w:rPr>
          <w:t>subsection (1)</w:t>
        </w:r>
      </w:hyperlink>
      <w:r w:rsidRPr="00F572B8">
        <w:rPr>
          <w:rFonts w:ascii="Calibri" w:eastAsia="Times New Roman" w:hAnsi="Calibri" w:cs="Calibri"/>
          <w:sz w:val="28"/>
          <w:szCs w:val="28"/>
        </w:rPr>
        <w:t xml:space="preserve"> shall be returned immediately by the holder thereof to the secretary.</w:t>
      </w:r>
    </w:p>
    <w:p w14:paraId="6273EF5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10</w:t>
      </w:r>
      <w:r w:rsidRPr="00F572B8">
        <w:rPr>
          <w:rFonts w:ascii="Calibri" w:eastAsia="Times New Roman" w:hAnsi="Calibri" w:cs="Calibri"/>
          <w:sz w:val="28"/>
          <w:szCs w:val="28"/>
        </w:rPr>
        <w:t xml:space="preserve">.  A permit issued under </w:t>
      </w:r>
      <w:hyperlink r:id="rId15" w:anchor="6" w:tooltip="#6" w:history="1">
        <w:r w:rsidRPr="00F572B8">
          <w:rPr>
            <w:rFonts w:ascii="Calibri" w:eastAsia="Times New Roman" w:hAnsi="Calibri" w:cs="Calibri"/>
            <w:color w:val="0000FF"/>
            <w:sz w:val="28"/>
            <w:szCs w:val="28"/>
            <w:u w:val="single"/>
          </w:rPr>
          <w:t>section 6</w:t>
        </w:r>
      </w:hyperlink>
      <w:r w:rsidRPr="00F572B8">
        <w:rPr>
          <w:rFonts w:ascii="Calibri" w:eastAsia="Times New Roman" w:hAnsi="Calibri" w:cs="Calibri"/>
          <w:sz w:val="28"/>
          <w:szCs w:val="28"/>
        </w:rPr>
        <w:t xml:space="preserve"> shall not be transferable and any purported transfer of such permit shall be invalid.</w:t>
      </w:r>
    </w:p>
    <w:p w14:paraId="14B2F9F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lastRenderedPageBreak/>
        <w:t>11</w:t>
      </w:r>
      <w:r w:rsidRPr="00F572B8">
        <w:rPr>
          <w:rFonts w:ascii="Calibri" w:eastAsia="Times New Roman" w:hAnsi="Calibri" w:cs="Calibri"/>
          <w:sz w:val="28"/>
          <w:szCs w:val="28"/>
        </w:rPr>
        <w:t>.  Nothing contained in this order or in any permit issued thereunder shall exempt the holder of such permit from complying with the provisions of—</w:t>
      </w:r>
    </w:p>
    <w:p w14:paraId="312D16A8"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the Cold Storage Commission Act [</w:t>
      </w:r>
      <w:r w:rsidRPr="00F572B8">
        <w:rPr>
          <w:rFonts w:ascii="Calibri" w:eastAsia="Times New Roman" w:hAnsi="Calibri" w:cs="Calibri"/>
          <w:i/>
          <w:iCs/>
          <w:sz w:val="28"/>
          <w:szCs w:val="28"/>
        </w:rPr>
        <w:t>Chapter 105</w:t>
      </w:r>
      <w:r w:rsidRPr="00F572B8">
        <w:rPr>
          <w:rFonts w:ascii="Calibri" w:eastAsia="Times New Roman" w:hAnsi="Calibri" w:cs="Calibri"/>
          <w:sz w:val="28"/>
          <w:szCs w:val="28"/>
        </w:rPr>
        <w:t>]; or</w:t>
      </w:r>
    </w:p>
    <w:p w14:paraId="29CB0A44"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the Grain Marketing Act [</w:t>
      </w:r>
      <w:r w:rsidRPr="00F572B8">
        <w:rPr>
          <w:rFonts w:ascii="Calibri" w:eastAsia="Times New Roman" w:hAnsi="Calibri" w:cs="Calibri"/>
          <w:i/>
          <w:iCs/>
          <w:sz w:val="28"/>
          <w:szCs w:val="28"/>
        </w:rPr>
        <w:t>Chapter 113</w:t>
      </w:r>
      <w:r w:rsidRPr="00F572B8">
        <w:rPr>
          <w:rFonts w:ascii="Calibri" w:eastAsia="Times New Roman" w:hAnsi="Calibri" w:cs="Calibri"/>
          <w:sz w:val="28"/>
          <w:szCs w:val="28"/>
        </w:rPr>
        <w:t>]; or</w:t>
      </w:r>
    </w:p>
    <w:p w14:paraId="6D55A75F"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the Plant Pests and Diseases Act [</w:t>
      </w:r>
      <w:r w:rsidRPr="00F572B8">
        <w:rPr>
          <w:rFonts w:ascii="Calibri" w:eastAsia="Times New Roman" w:hAnsi="Calibri" w:cs="Calibri"/>
          <w:i/>
          <w:iCs/>
          <w:sz w:val="28"/>
          <w:szCs w:val="28"/>
        </w:rPr>
        <w:t>Chapter 128</w:t>
      </w:r>
      <w:r w:rsidRPr="00F572B8">
        <w:rPr>
          <w:rFonts w:ascii="Calibri" w:eastAsia="Times New Roman" w:hAnsi="Calibri" w:cs="Calibri"/>
          <w:sz w:val="28"/>
          <w:szCs w:val="28"/>
        </w:rPr>
        <w:t>];</w:t>
      </w:r>
    </w:p>
    <w:p w14:paraId="0A02CB1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or any other law in force in Zimbabwe controlling the import in or the export from Zimbabwe of the goods to which such permit relates.</w:t>
      </w:r>
    </w:p>
    <w:p w14:paraId="28361AA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12</w:t>
      </w:r>
      <w:r w:rsidRPr="00F572B8">
        <w:rPr>
          <w:rFonts w:ascii="Calibri" w:eastAsia="Times New Roman" w:hAnsi="Calibri" w:cs="Calibri"/>
          <w:sz w:val="28"/>
          <w:szCs w:val="28"/>
        </w:rPr>
        <w:t>.  Any permit issued under section 6 of the Control of Goods (Import and Export) (Agriculture) Order, 1974, shall be deemed to have been issued by the Secretary under section 6 of this order.</w:t>
      </w:r>
    </w:p>
    <w:p w14:paraId="3EA8743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b/>
          <w:bCs/>
          <w:sz w:val="28"/>
          <w:szCs w:val="28"/>
        </w:rPr>
        <w:t>13</w:t>
      </w:r>
      <w:r w:rsidRPr="00F572B8">
        <w:rPr>
          <w:rFonts w:ascii="Calibri" w:eastAsia="Times New Roman" w:hAnsi="Calibri" w:cs="Calibri"/>
          <w:sz w:val="28"/>
          <w:szCs w:val="28"/>
        </w:rPr>
        <w:t>.  The orders specified in the Third Schedule are repealed.</w:t>
      </w:r>
    </w:p>
    <w:p w14:paraId="5F7E769B"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b/>
          <w:bCs/>
          <w:sz w:val="28"/>
          <w:szCs w:val="28"/>
        </w:rPr>
        <w:t>First Schedule</w:t>
      </w:r>
      <w:r w:rsidRPr="00F572B8">
        <w:rPr>
          <w:rFonts w:ascii="Calibri" w:eastAsia="Times New Roman" w:hAnsi="Calibri" w:cs="Calibri"/>
          <w:sz w:val="28"/>
          <w:szCs w:val="28"/>
        </w:rPr>
        <w:t xml:space="preserve"> (</w:t>
      </w:r>
      <w:hyperlink r:id="rId16" w:anchor="4" w:tooltip="#4" w:history="1">
        <w:r w:rsidRPr="00F572B8">
          <w:rPr>
            <w:rFonts w:ascii="Calibri" w:eastAsia="Times New Roman" w:hAnsi="Calibri" w:cs="Calibri"/>
            <w:i/>
            <w:iCs/>
            <w:color w:val="0000FF"/>
            <w:sz w:val="28"/>
            <w:szCs w:val="28"/>
            <w:u w:val="single"/>
          </w:rPr>
          <w:t>Sections 4</w:t>
        </w:r>
      </w:hyperlink>
      <w:r w:rsidRPr="00F572B8">
        <w:rPr>
          <w:rFonts w:ascii="Calibri" w:eastAsia="Times New Roman" w:hAnsi="Calibri" w:cs="Calibri"/>
          <w:i/>
          <w:iCs/>
          <w:sz w:val="28"/>
          <w:szCs w:val="28"/>
        </w:rPr>
        <w:t xml:space="preserve"> and </w:t>
      </w:r>
      <w:hyperlink r:id="rId17" w:anchor="6" w:tooltip="#6" w:history="1">
        <w:r w:rsidRPr="00F572B8">
          <w:rPr>
            <w:rFonts w:ascii="Calibri" w:eastAsia="Times New Roman" w:hAnsi="Calibri" w:cs="Calibri"/>
            <w:i/>
            <w:iCs/>
            <w:color w:val="0000FF"/>
            <w:sz w:val="28"/>
            <w:szCs w:val="28"/>
            <w:u w:val="single"/>
          </w:rPr>
          <w:t>6</w:t>
        </w:r>
      </w:hyperlink>
      <w:r w:rsidRPr="00F572B8">
        <w:rPr>
          <w:rFonts w:ascii="Calibri" w:eastAsia="Times New Roman" w:hAnsi="Calibri" w:cs="Calibri"/>
          <w:sz w:val="28"/>
          <w:szCs w:val="28"/>
        </w:rPr>
        <w:t>)</w:t>
      </w:r>
      <w:r w:rsidRPr="00F572B8">
        <w:rPr>
          <w:rFonts w:ascii="Calibri" w:eastAsia="Times New Roman" w:hAnsi="Calibri" w:cs="Calibri"/>
          <w:sz w:val="28"/>
          <w:szCs w:val="28"/>
        </w:rPr>
        <w:br/>
        <w:t>GOODS FOR THE IMPORT OF WHICH A PERMIT IS REQUIRED</w:t>
      </w:r>
    </w:p>
    <w:p w14:paraId="11990D5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    Animal oils and fats (lard, tallow, dripping).</w:t>
      </w:r>
    </w:p>
    <w:p w14:paraId="37A1DE8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    Animal semen and animal embryos.</w:t>
      </w:r>
    </w:p>
    <w:p w14:paraId="57E2E10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    Apples.</w:t>
      </w:r>
    </w:p>
    <w:p w14:paraId="35DF5FF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    Bananas, fresh or green.</w:t>
      </w:r>
    </w:p>
    <w:p w14:paraId="5570ACA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5.    Barley, barley malt.</w:t>
      </w:r>
    </w:p>
    <w:p w14:paraId="5E9CE93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6.    Beans, but excluding beans which are tinned, bottled or otherwise preserved.</w:t>
      </w:r>
    </w:p>
    <w:p w14:paraId="44AC060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7.    Bean meal.</w:t>
      </w:r>
    </w:p>
    <w:p w14:paraId="166FF79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8.    Beef, veal.</w:t>
      </w:r>
    </w:p>
    <w:p w14:paraId="607AF6E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9.    Bees, unmanufactured bees-wax and foundation comb.</w:t>
      </w:r>
    </w:p>
    <w:p w14:paraId="686011C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10.    Bones, bone meal</w:t>
      </w:r>
    </w:p>
    <w:p w14:paraId="4897E3A7"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11.    Butter, ghee, cream other than sterilised cream.</w:t>
      </w:r>
    </w:p>
    <w:p w14:paraId="0605530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12.    Cattle, whether live or dead, and including edible products produced from the carcasses of cattle, but excluding meat extract, meat paste, meat powder, potted meat and tinned meat.</w:t>
      </w:r>
    </w:p>
    <w:p w14:paraId="154E6FA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13.    Cheese.</w:t>
      </w:r>
    </w:p>
    <w:p w14:paraId="7D1E6A80"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lastRenderedPageBreak/>
        <w:t>14.    Citrus fruit.</w:t>
      </w:r>
    </w:p>
    <w:p w14:paraId="12E8B4F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15.    Compound products containing flour meal, residues and other preparations of a kind suitable only for use as animal feedstuffs but excluding—</w:t>
      </w:r>
    </w:p>
    <w:p w14:paraId="047393B2"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chemical additions to animal feedstuffs;</w:t>
      </w:r>
    </w:p>
    <w:p w14:paraId="60F5C1F8"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antibiotic growth stimulants;</w:t>
      </w:r>
    </w:p>
    <w:p w14:paraId="4F1F2AAC"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inert fillers;</w:t>
      </w:r>
    </w:p>
    <w:p w14:paraId="79B4F1AE"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(d)  synthetic animal feedstuffs;</w:t>
      </w:r>
    </w:p>
    <w:p w14:paraId="2DA8A150"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(e)  cat and dog feeds;</w:t>
      </w:r>
    </w:p>
    <w:p w14:paraId="394152B4"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(f)  salt lick for cattle.</w:t>
      </w:r>
    </w:p>
    <w:p w14:paraId="1A0E98A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16.    Coffee beans.</w:t>
      </w:r>
    </w:p>
    <w:p w14:paraId="3D0359F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17.    Cotton, raw cotton or unginned cotton, cotton lint and ginned cotton seed.</w:t>
      </w:r>
    </w:p>
    <w:p w14:paraId="44A053DE"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18.    Eggs of poultry, whether in shell, pulp or dried form.</w:t>
      </w:r>
    </w:p>
    <w:p w14:paraId="55BE496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19.    Fertiliser of any type used in improving or maintaining the growth of plants or productivity of soil.</w:t>
      </w:r>
    </w:p>
    <w:p w14:paraId="0012175C"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20.    Fish, whether fresh or dried including fish meal.</w:t>
      </w:r>
    </w:p>
    <w:p w14:paraId="5116E75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21.    Goats, whether live or dead including edible products produced from the carcasses of goats.</w:t>
      </w:r>
    </w:p>
    <w:p w14:paraId="76B5899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22.    Grain, dhal.</w:t>
      </w:r>
    </w:p>
    <w:p w14:paraId="2D6C219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23.    Grapes.</w:t>
      </w:r>
    </w:p>
    <w:p w14:paraId="2850D567"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24.    Groundnuts.</w:t>
      </w:r>
    </w:p>
    <w:p w14:paraId="4017917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25.    Hides and skins.</w:t>
      </w:r>
    </w:p>
    <w:p w14:paraId="6334027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26.    Honey, including unprocessed royal jelly.</w:t>
      </w:r>
    </w:p>
    <w:p w14:paraId="5D4F0AE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27.    Ice-cream, ice-cream royal jelly.</w:t>
      </w:r>
    </w:p>
    <w:p w14:paraId="3C616BC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28.    Maize including—</w:t>
      </w:r>
    </w:p>
    <w:p w14:paraId="00706573"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green maize on the cob;</w:t>
      </w:r>
    </w:p>
    <w:p w14:paraId="72F08A12"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dried maize on or off the cob;</w:t>
      </w:r>
    </w:p>
    <w:p w14:paraId="10EDD592"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crushed maize; and</w:t>
      </w:r>
    </w:p>
    <w:p w14:paraId="0F26F8D1"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lastRenderedPageBreak/>
        <w:t>(d)  samp.</w:t>
      </w:r>
    </w:p>
    <w:p w14:paraId="652414E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29.    Maize meal including—</w:t>
      </w:r>
    </w:p>
    <w:p w14:paraId="3443F8B4"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maize grits;</w:t>
      </w:r>
    </w:p>
    <w:p w14:paraId="2EA8F01A"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maize cones;</w:t>
      </w:r>
    </w:p>
    <w:p w14:paraId="220FDFB4"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haming chop;</w:t>
      </w:r>
    </w:p>
    <w:p w14:paraId="5605B017"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(d)  maize offals; and</w:t>
      </w:r>
    </w:p>
    <w:p w14:paraId="334148EF"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(e)  processed maize with or without additives.</w:t>
      </w:r>
    </w:p>
    <w:p w14:paraId="6A97C5D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30.    Maleic Hydrazide also known as MH</w:t>
      </w:r>
    </w:p>
    <w:p w14:paraId="5B8E0B8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31.    Manure.</w:t>
      </w:r>
    </w:p>
    <w:p w14:paraId="735DBB0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32.    Meat meal, blood meal, carcass meal.</w:t>
      </w:r>
    </w:p>
    <w:p w14:paraId="6DDD963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33.    Milk, pasteurised milk, sterilised mil, UHT milk, lacto or any liquid milk of a volume of not more than 2 litres.</w:t>
      </w:r>
    </w:p>
    <w:p w14:paraId="68D9D57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34.    Mhunga, mhunga meal and mhunga malt.</w:t>
      </w:r>
    </w:p>
    <w:p w14:paraId="07DF035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35.    Oil-seeds, oil cake, oil cake meal, offals and residues from oil-seeds.</w:t>
      </w:r>
    </w:p>
    <w:p w14:paraId="118FAA3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36.    Peaches.</w:t>
      </w:r>
    </w:p>
    <w:p w14:paraId="4F81239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37.    Pears.</w:t>
      </w:r>
    </w:p>
    <w:p w14:paraId="283F597C"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38.    Plums.</w:t>
      </w:r>
    </w:p>
    <w:p w14:paraId="2158A6A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39.    Pigs, whether live or dead including—</w:t>
      </w:r>
    </w:p>
    <w:p w14:paraId="60FE9F92"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edible products produced from the carcasses of pigs, sausages, bacon hams, polonies; and</w:t>
      </w:r>
    </w:p>
    <w:p w14:paraId="233C9FBF"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canned products but excluding meat pastes.</w:t>
      </w:r>
    </w:p>
    <w:p w14:paraId="67C937F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40.    Rice in the grain.</w:t>
      </w:r>
    </w:p>
    <w:p w14:paraId="2D74761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41.    Poultry, whether live or dead including—</w:t>
      </w:r>
    </w:p>
    <w:p w14:paraId="67E414A5"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edible products produced from poultry;</w:t>
      </w:r>
    </w:p>
    <w:p w14:paraId="33F8DD2D"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canned poultry products; and</w:t>
      </w:r>
    </w:p>
    <w:p w14:paraId="6D49DC04"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day-old chicks.</w:t>
      </w:r>
    </w:p>
    <w:p w14:paraId="458A690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42.    Potatoes.</w:t>
      </w:r>
    </w:p>
    <w:p w14:paraId="69EC412E"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lastRenderedPageBreak/>
        <w:t>43.    Rapoko, rapoko meal and rapoko malt.</w:t>
      </w:r>
    </w:p>
    <w:p w14:paraId="278D636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44.    Seed for planting.</w:t>
      </w:r>
    </w:p>
    <w:p w14:paraId="762BD450"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45.    Skimmed milk powder and full cream milk powder of a mass of more than 25 kilograms</w:t>
      </w:r>
    </w:p>
    <w:p w14:paraId="0A7CF61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46.    Sorghum in the grain, sorghum meal and sorghum malt.</w:t>
      </w:r>
    </w:p>
    <w:p w14:paraId="76FA12C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47.    Soyabeans.</w:t>
      </w:r>
    </w:p>
    <w:p w14:paraId="72AFDD4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48.    Sugar, raw sugar and refined sugar.</w:t>
      </w:r>
    </w:p>
    <w:p w14:paraId="5FC987A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49.    Sunflower.</w:t>
      </w:r>
    </w:p>
    <w:p w14:paraId="5165B97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50.    Tea.</w:t>
      </w:r>
    </w:p>
    <w:p w14:paraId="4688824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51.    Unmanufactured tobacco of all classes and types but excluding samples of 50 kilograms or less in mass.</w:t>
      </w:r>
    </w:p>
    <w:p w14:paraId="7DFB20F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52.    Vegetables.</w:t>
      </w:r>
    </w:p>
    <w:p w14:paraId="262D1DB1"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53.    Vegetable oils, vegetable fats and margarine.</w:t>
      </w:r>
    </w:p>
    <w:p w14:paraId="2BD8E75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Wheat in the grain, wheat bran and wheat pollard.</w:t>
      </w:r>
    </w:p>
    <w:p w14:paraId="3B2FDEDB"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b/>
          <w:bCs/>
          <w:sz w:val="28"/>
          <w:szCs w:val="28"/>
        </w:rPr>
        <w:t>Second Schedule</w:t>
      </w:r>
      <w:r w:rsidRPr="00F572B8">
        <w:rPr>
          <w:rFonts w:ascii="Calibri" w:eastAsia="Times New Roman" w:hAnsi="Calibri" w:cs="Calibri"/>
          <w:sz w:val="28"/>
          <w:szCs w:val="28"/>
        </w:rPr>
        <w:t xml:space="preserve"> (</w:t>
      </w:r>
      <w:hyperlink r:id="rId18" w:anchor="5" w:tooltip="#5" w:history="1">
        <w:r w:rsidRPr="00F572B8">
          <w:rPr>
            <w:rFonts w:ascii="Calibri" w:eastAsia="Times New Roman" w:hAnsi="Calibri" w:cs="Calibri"/>
            <w:i/>
            <w:iCs/>
            <w:color w:val="0000FF"/>
            <w:sz w:val="28"/>
            <w:szCs w:val="28"/>
            <w:u w:val="single"/>
          </w:rPr>
          <w:t>Sections 5</w:t>
        </w:r>
      </w:hyperlink>
      <w:r w:rsidRPr="00F572B8">
        <w:rPr>
          <w:rFonts w:ascii="Calibri" w:eastAsia="Times New Roman" w:hAnsi="Calibri" w:cs="Calibri"/>
          <w:i/>
          <w:iCs/>
          <w:sz w:val="28"/>
          <w:szCs w:val="28"/>
        </w:rPr>
        <w:t xml:space="preserve"> and </w:t>
      </w:r>
      <w:hyperlink r:id="rId19" w:anchor="6" w:tooltip="#6" w:history="1">
        <w:r w:rsidRPr="00F572B8">
          <w:rPr>
            <w:rFonts w:ascii="Calibri" w:eastAsia="Times New Roman" w:hAnsi="Calibri" w:cs="Calibri"/>
            <w:i/>
            <w:iCs/>
            <w:color w:val="0000FF"/>
            <w:sz w:val="28"/>
            <w:szCs w:val="28"/>
            <w:u w:val="single"/>
          </w:rPr>
          <w:t>6</w:t>
        </w:r>
      </w:hyperlink>
      <w:r w:rsidRPr="00F572B8">
        <w:rPr>
          <w:rFonts w:ascii="Calibri" w:eastAsia="Times New Roman" w:hAnsi="Calibri" w:cs="Calibri"/>
          <w:sz w:val="28"/>
          <w:szCs w:val="28"/>
        </w:rPr>
        <w:t>)</w:t>
      </w:r>
      <w:r w:rsidRPr="00F572B8">
        <w:rPr>
          <w:rFonts w:ascii="Calibri" w:eastAsia="Times New Roman" w:hAnsi="Calibri" w:cs="Calibri"/>
          <w:sz w:val="28"/>
          <w:szCs w:val="28"/>
        </w:rPr>
        <w:br/>
        <w:t>GOODS FOR THE EXPORT OF WHICH A PERMIT IS REQUIRED</w:t>
      </w:r>
    </w:p>
    <w:p w14:paraId="368540C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    Animal oils and fats.</w:t>
      </w:r>
    </w:p>
    <w:p w14:paraId="31126470"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    Animal semen, animal embryos.</w:t>
      </w:r>
    </w:p>
    <w:p w14:paraId="29A3F03C"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    Barley, barley meal, barley malt.</w:t>
      </w:r>
    </w:p>
    <w:p w14:paraId="1143F59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4.    Bananas.</w:t>
      </w:r>
    </w:p>
    <w:p w14:paraId="7731090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5.    Beans, dried, bean meal.</w:t>
      </w:r>
    </w:p>
    <w:p w14:paraId="2F35333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6.    Beef, veal.</w:t>
      </w:r>
    </w:p>
    <w:p w14:paraId="26FA38E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7.    Butter, ghee, cream, other than sterilised cream.</w:t>
      </w:r>
    </w:p>
    <w:p w14:paraId="68665FD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8.    Cattle, whether live or dead including edible products produced from the carcasses of cattle, but excluding meat extract, meat paste, potted meat and canned meat which has been subject to a process of cooking.</w:t>
      </w:r>
    </w:p>
    <w:p w14:paraId="3A77BE7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9.    Cheese.</w:t>
      </w:r>
    </w:p>
    <w:p w14:paraId="1ED251F1"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10.    Citrus fruit.</w:t>
      </w:r>
    </w:p>
    <w:p w14:paraId="059E5050"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lastRenderedPageBreak/>
        <w:t>11.    Coffee, raw.</w:t>
      </w:r>
    </w:p>
    <w:p w14:paraId="257BC4A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12.    Compound products containing flour, meal, residues, and other preparations of a kind suitable only for use as animal feedstuffs, but excluding—</w:t>
      </w:r>
    </w:p>
    <w:p w14:paraId="183458B2"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chemical additions to animal feedstuffs;</w:t>
      </w:r>
    </w:p>
    <w:p w14:paraId="2B3B5B37"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antibiotic growth stimulants;</w:t>
      </w:r>
    </w:p>
    <w:p w14:paraId="1F270973"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inert fillers;</w:t>
      </w:r>
    </w:p>
    <w:p w14:paraId="37A24AA8"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(d)  trace elements;</w:t>
      </w:r>
    </w:p>
    <w:p w14:paraId="6816EC9D"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(e)  synthetic animal feedstuffs;</w:t>
      </w:r>
    </w:p>
    <w:p w14:paraId="52803E37"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(f)  cat and dog food.</w:t>
      </w:r>
    </w:p>
    <w:p w14:paraId="1CDFB580"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13.    Cotton, raw cotton or unginned cotton, cotton lint and ginned cotton seed.</w:t>
      </w:r>
    </w:p>
    <w:p w14:paraId="4D42AA1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14.    Eggs of poultry whether in shell, pulp or dried form.</w:t>
      </w:r>
    </w:p>
    <w:p w14:paraId="1184363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15.    Fish, whether fresh or dried.</w:t>
      </w:r>
    </w:p>
    <w:p w14:paraId="182060C7"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16.    Fertiliser.</w:t>
      </w:r>
    </w:p>
    <w:p w14:paraId="2D2D7DB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17.    Groundnuts.</w:t>
      </w:r>
    </w:p>
    <w:p w14:paraId="453DDED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18.    Hides and skins.</w:t>
      </w:r>
    </w:p>
    <w:p w14:paraId="719B428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19.    Maize, including—</w:t>
      </w:r>
    </w:p>
    <w:p w14:paraId="6C556155"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dried maize on or off the cob;</w:t>
      </w:r>
    </w:p>
    <w:p w14:paraId="2283DD9C"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crushed maize;</w:t>
      </w:r>
    </w:p>
    <w:p w14:paraId="37D97A85"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samp; and</w:t>
      </w:r>
    </w:p>
    <w:p w14:paraId="2D3E19C8"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(d)  green maize on the cob.</w:t>
      </w:r>
    </w:p>
    <w:p w14:paraId="426FE2DA"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20.    Maize meal, blood meal and carcass meal—</w:t>
      </w:r>
    </w:p>
    <w:p w14:paraId="595E8CD3"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maize grits;</w:t>
      </w:r>
    </w:p>
    <w:p w14:paraId="1B4D6D5F"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maize cones;</w:t>
      </w:r>
    </w:p>
    <w:p w14:paraId="04698C83"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(c)  hominy chop; and</w:t>
      </w:r>
    </w:p>
    <w:p w14:paraId="60403D81"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(d)  maize offals.</w:t>
      </w:r>
    </w:p>
    <w:p w14:paraId="1B84556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21.    Meat meal, blood meal and carcass meal.</w:t>
      </w:r>
    </w:p>
    <w:p w14:paraId="3ECC4A1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lastRenderedPageBreak/>
        <w:t>22.    Mhunga in the grain, mhunga meal and mhunga malt.</w:t>
      </w:r>
    </w:p>
    <w:p w14:paraId="3E427A9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23.    Milk, pasteurised milk, sterilised mil, UHT milk , lacto or any liquid milk.</w:t>
      </w:r>
    </w:p>
    <w:p w14:paraId="1765DBD5"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24.    Oilseeds, oil cake and oil cake meal.</w:t>
      </w:r>
    </w:p>
    <w:p w14:paraId="39AF4036"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25.    Pigs, whether live or dead including edible products produced from such carcasses but excluding meat extracts, meat pastes, meat powder, potted meat and canned meat products which have been subjected to a process heating.</w:t>
      </w:r>
    </w:p>
    <w:p w14:paraId="133F3C8C"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26.    Potatoes.</w:t>
      </w:r>
    </w:p>
    <w:p w14:paraId="7C02940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27.    Poultry, whether live or dead including—</w:t>
      </w:r>
    </w:p>
    <w:p w14:paraId="09F5FA8F"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(a)  products produced from such carcasses but excluding canned poultry products which have been subjected to a process of heating; and</w:t>
      </w:r>
    </w:p>
    <w:p w14:paraId="3C99F8F8" w14:textId="77777777" w:rsidR="00F572B8" w:rsidRPr="00F572B8" w:rsidRDefault="00F572B8" w:rsidP="00F572B8">
      <w:pPr>
        <w:spacing w:after="150" w:line="240" w:lineRule="auto"/>
        <w:ind w:left="720"/>
        <w:rPr>
          <w:rFonts w:ascii="Calibri" w:eastAsia="Times New Roman" w:hAnsi="Calibri" w:cs="Calibri"/>
          <w:sz w:val="28"/>
          <w:szCs w:val="28"/>
        </w:rPr>
      </w:pPr>
      <w:r w:rsidRPr="00F572B8">
        <w:rPr>
          <w:rFonts w:ascii="Calibri" w:eastAsia="Times New Roman" w:hAnsi="Calibri" w:cs="Calibri"/>
          <w:sz w:val="28"/>
          <w:szCs w:val="28"/>
        </w:rPr>
        <w:t>(b)  day old chicks.</w:t>
      </w:r>
    </w:p>
    <w:p w14:paraId="79F124B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28.    Seed for planting.</w:t>
      </w:r>
    </w:p>
    <w:p w14:paraId="3319C25E"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29.    Skimmed milk powder and full cream milk powder.</w:t>
      </w:r>
    </w:p>
    <w:p w14:paraId="7E4253CE"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30.     Sorghum in the grain, sorghum meal and sorghum malt.</w:t>
      </w:r>
    </w:p>
    <w:p w14:paraId="519606DD"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31.    Soyabeans.</w:t>
      </w:r>
    </w:p>
    <w:p w14:paraId="03921E09"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32.    Sugar, raw sugar and refined sugar.</w:t>
      </w:r>
    </w:p>
    <w:p w14:paraId="1796F94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33.    Sunflower.</w:t>
      </w:r>
    </w:p>
    <w:p w14:paraId="15E56FCF"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34.    Tea.</w:t>
      </w:r>
    </w:p>
    <w:p w14:paraId="1DFF2454"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35.    Vegetables.</w:t>
      </w:r>
    </w:p>
    <w:p w14:paraId="602172F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36.    Vegetable oils, fats and margarine.</w:t>
      </w:r>
    </w:p>
    <w:p w14:paraId="7E4486BB"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37.    Wheat in the grain, wheaten bran and wheat pollard.</w:t>
      </w:r>
    </w:p>
    <w:p w14:paraId="25F1B0B1"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b/>
          <w:bCs/>
          <w:sz w:val="28"/>
          <w:szCs w:val="28"/>
        </w:rPr>
        <w:t xml:space="preserve">Third Schedule </w:t>
      </w:r>
      <w:r w:rsidRPr="00F572B8">
        <w:rPr>
          <w:rFonts w:ascii="Calibri" w:eastAsia="Times New Roman" w:hAnsi="Calibri" w:cs="Calibri"/>
          <w:sz w:val="28"/>
          <w:szCs w:val="28"/>
        </w:rPr>
        <w:t>(</w:t>
      </w:r>
      <w:hyperlink r:id="rId20" w:anchor="13" w:tooltip="#13" w:history="1">
        <w:r w:rsidRPr="00F572B8">
          <w:rPr>
            <w:rFonts w:ascii="Calibri" w:eastAsia="Times New Roman" w:hAnsi="Calibri" w:cs="Calibri"/>
            <w:i/>
            <w:iCs/>
            <w:color w:val="0000FF"/>
            <w:sz w:val="28"/>
            <w:szCs w:val="28"/>
            <w:u w:val="single"/>
          </w:rPr>
          <w:t>Section 13</w:t>
        </w:r>
      </w:hyperlink>
      <w:r w:rsidRPr="00F572B8">
        <w:rPr>
          <w:rFonts w:ascii="Calibri" w:eastAsia="Times New Roman" w:hAnsi="Calibri" w:cs="Calibri"/>
          <w:sz w:val="28"/>
          <w:szCs w:val="28"/>
        </w:rPr>
        <w:t>)</w:t>
      </w:r>
      <w:r w:rsidRPr="00F572B8">
        <w:rPr>
          <w:rFonts w:ascii="Calibri" w:eastAsia="Times New Roman" w:hAnsi="Calibri" w:cs="Calibri"/>
          <w:sz w:val="28"/>
          <w:szCs w:val="28"/>
        </w:rPr>
        <w:b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670"/>
        <w:gridCol w:w="2265"/>
      </w:tblGrid>
      <w:tr w:rsidR="00F572B8" w:rsidRPr="00F572B8" w14:paraId="5C0A18D9" w14:textId="77777777" w:rsidTr="00F572B8">
        <w:trPr>
          <w:tblCellSpacing w:w="0" w:type="dxa"/>
          <w:jc w:val="center"/>
        </w:trPr>
        <w:tc>
          <w:tcPr>
            <w:tcW w:w="5670" w:type="dxa"/>
            <w:vAlign w:val="center"/>
            <w:hideMark/>
          </w:tcPr>
          <w:p w14:paraId="44143A69"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i/>
                <w:iCs/>
                <w:sz w:val="28"/>
                <w:szCs w:val="28"/>
              </w:rPr>
              <w:t>Title</w:t>
            </w:r>
          </w:p>
        </w:tc>
        <w:tc>
          <w:tcPr>
            <w:tcW w:w="2265" w:type="dxa"/>
            <w:vAlign w:val="center"/>
            <w:hideMark/>
          </w:tcPr>
          <w:p w14:paraId="5711AC41"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i/>
                <w:iCs/>
                <w:sz w:val="28"/>
                <w:szCs w:val="28"/>
              </w:rPr>
              <w:t>Rhodesia Government</w:t>
            </w:r>
            <w:r w:rsidRPr="00F572B8">
              <w:rPr>
                <w:rFonts w:ascii="Calibri" w:eastAsia="Times New Roman" w:hAnsi="Calibri" w:cs="Calibri"/>
                <w:i/>
                <w:iCs/>
                <w:sz w:val="28"/>
                <w:szCs w:val="28"/>
              </w:rPr>
              <w:br/>
              <w:t>Notice No.</w:t>
            </w:r>
          </w:p>
        </w:tc>
      </w:tr>
      <w:tr w:rsidR="00F572B8" w:rsidRPr="00F572B8" w14:paraId="67A4CB76" w14:textId="77777777" w:rsidTr="00F572B8">
        <w:trPr>
          <w:tblCellSpacing w:w="0" w:type="dxa"/>
          <w:jc w:val="center"/>
        </w:trPr>
        <w:tc>
          <w:tcPr>
            <w:tcW w:w="5670" w:type="dxa"/>
            <w:vAlign w:val="center"/>
            <w:hideMark/>
          </w:tcPr>
          <w:p w14:paraId="0A681181"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Control of Goods (Import and Export) (Agriculture) Order, 1974</w:t>
            </w:r>
          </w:p>
        </w:tc>
        <w:tc>
          <w:tcPr>
            <w:tcW w:w="2265" w:type="dxa"/>
            <w:vAlign w:val="center"/>
            <w:hideMark/>
          </w:tcPr>
          <w:p w14:paraId="55743F14"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sz w:val="28"/>
                <w:szCs w:val="28"/>
              </w:rPr>
              <w:t>216 of 1974</w:t>
            </w:r>
          </w:p>
        </w:tc>
      </w:tr>
      <w:tr w:rsidR="00F572B8" w:rsidRPr="00F572B8" w14:paraId="01B739B3" w14:textId="77777777" w:rsidTr="00F572B8">
        <w:trPr>
          <w:tblCellSpacing w:w="0" w:type="dxa"/>
          <w:jc w:val="center"/>
        </w:trPr>
        <w:tc>
          <w:tcPr>
            <w:tcW w:w="5670" w:type="dxa"/>
            <w:vAlign w:val="center"/>
            <w:hideMark/>
          </w:tcPr>
          <w:p w14:paraId="381E6EF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lastRenderedPageBreak/>
              <w:t>Control of Goods (Import and Export) (Agriculture) (Amendment) Order, 1977 (No. 1)</w:t>
            </w:r>
          </w:p>
        </w:tc>
        <w:tc>
          <w:tcPr>
            <w:tcW w:w="2265" w:type="dxa"/>
            <w:vAlign w:val="center"/>
            <w:hideMark/>
          </w:tcPr>
          <w:p w14:paraId="0293F8AA"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sz w:val="28"/>
                <w:szCs w:val="28"/>
              </w:rPr>
              <w:t>875 of 1977</w:t>
            </w:r>
          </w:p>
        </w:tc>
      </w:tr>
      <w:tr w:rsidR="00F572B8" w:rsidRPr="00F572B8" w14:paraId="74D680FC" w14:textId="77777777" w:rsidTr="00F572B8">
        <w:trPr>
          <w:tblCellSpacing w:w="0" w:type="dxa"/>
          <w:jc w:val="center"/>
        </w:trPr>
        <w:tc>
          <w:tcPr>
            <w:tcW w:w="5670" w:type="dxa"/>
            <w:vAlign w:val="center"/>
            <w:hideMark/>
          </w:tcPr>
          <w:p w14:paraId="6D2D346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Statutory Instrument</w:t>
            </w:r>
          </w:p>
        </w:tc>
        <w:tc>
          <w:tcPr>
            <w:tcW w:w="2265" w:type="dxa"/>
            <w:vAlign w:val="center"/>
            <w:hideMark/>
          </w:tcPr>
          <w:p w14:paraId="7A3F98D1"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 </w:t>
            </w:r>
          </w:p>
        </w:tc>
      </w:tr>
      <w:tr w:rsidR="00F572B8" w:rsidRPr="00F572B8" w14:paraId="7B65C744" w14:textId="77777777" w:rsidTr="00F572B8">
        <w:trPr>
          <w:tblCellSpacing w:w="0" w:type="dxa"/>
          <w:jc w:val="center"/>
        </w:trPr>
        <w:tc>
          <w:tcPr>
            <w:tcW w:w="5670" w:type="dxa"/>
            <w:vAlign w:val="center"/>
            <w:hideMark/>
          </w:tcPr>
          <w:p w14:paraId="641F3583"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Control of Goods (Import and Export) (Agriculture) (Amendment) Order, 1986 (No. 3)</w:t>
            </w:r>
          </w:p>
        </w:tc>
        <w:tc>
          <w:tcPr>
            <w:tcW w:w="2265" w:type="dxa"/>
            <w:vAlign w:val="center"/>
            <w:hideMark/>
          </w:tcPr>
          <w:p w14:paraId="1C54C712"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sz w:val="28"/>
                <w:szCs w:val="28"/>
              </w:rPr>
              <w:t>265 of 1986</w:t>
            </w:r>
          </w:p>
        </w:tc>
      </w:tr>
      <w:tr w:rsidR="00F572B8" w:rsidRPr="00F572B8" w14:paraId="1B4CBCC6" w14:textId="77777777" w:rsidTr="00F572B8">
        <w:trPr>
          <w:tblCellSpacing w:w="0" w:type="dxa"/>
          <w:jc w:val="center"/>
        </w:trPr>
        <w:tc>
          <w:tcPr>
            <w:tcW w:w="5670" w:type="dxa"/>
            <w:vAlign w:val="center"/>
            <w:hideMark/>
          </w:tcPr>
          <w:p w14:paraId="0A9A71B8"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Control of Goods (Import and Export) (Agriculture) (Amendment) Order, 1991 (No. 4)</w:t>
            </w:r>
          </w:p>
        </w:tc>
        <w:tc>
          <w:tcPr>
            <w:tcW w:w="2265" w:type="dxa"/>
            <w:vAlign w:val="center"/>
            <w:hideMark/>
          </w:tcPr>
          <w:p w14:paraId="6209569D"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sz w:val="28"/>
                <w:szCs w:val="28"/>
              </w:rPr>
              <w:t>121 of 1991</w:t>
            </w:r>
          </w:p>
        </w:tc>
      </w:tr>
      <w:tr w:rsidR="00F572B8" w:rsidRPr="00F572B8" w14:paraId="515C56E1" w14:textId="77777777" w:rsidTr="00F572B8">
        <w:trPr>
          <w:tblCellSpacing w:w="0" w:type="dxa"/>
          <w:jc w:val="center"/>
        </w:trPr>
        <w:tc>
          <w:tcPr>
            <w:tcW w:w="5670" w:type="dxa"/>
            <w:vAlign w:val="center"/>
            <w:hideMark/>
          </w:tcPr>
          <w:p w14:paraId="69F2B572" w14:textId="77777777" w:rsidR="00F572B8" w:rsidRPr="00F572B8" w:rsidRDefault="00F572B8" w:rsidP="00F572B8">
            <w:pPr>
              <w:spacing w:after="150" w:line="240" w:lineRule="auto"/>
              <w:rPr>
                <w:rFonts w:ascii="Calibri" w:eastAsia="Times New Roman" w:hAnsi="Calibri" w:cs="Calibri"/>
                <w:sz w:val="28"/>
                <w:szCs w:val="28"/>
              </w:rPr>
            </w:pPr>
            <w:r w:rsidRPr="00F572B8">
              <w:rPr>
                <w:rFonts w:ascii="Calibri" w:eastAsia="Times New Roman" w:hAnsi="Calibri" w:cs="Calibri"/>
                <w:sz w:val="28"/>
                <w:szCs w:val="28"/>
              </w:rPr>
              <w:t>Control of Goods (Import and Export) (Agri culture) (Amendment) Order, 1992 (No. 5)</w:t>
            </w:r>
          </w:p>
        </w:tc>
        <w:tc>
          <w:tcPr>
            <w:tcW w:w="2265" w:type="dxa"/>
            <w:vAlign w:val="center"/>
            <w:hideMark/>
          </w:tcPr>
          <w:p w14:paraId="1F27B520" w14:textId="77777777" w:rsidR="00F572B8" w:rsidRPr="00F572B8" w:rsidRDefault="00F572B8" w:rsidP="00F572B8">
            <w:pPr>
              <w:spacing w:after="150" w:line="240" w:lineRule="auto"/>
              <w:jc w:val="center"/>
              <w:rPr>
                <w:rFonts w:ascii="Calibri" w:eastAsia="Times New Roman" w:hAnsi="Calibri" w:cs="Calibri"/>
                <w:sz w:val="28"/>
                <w:szCs w:val="28"/>
              </w:rPr>
            </w:pPr>
            <w:r w:rsidRPr="00F572B8">
              <w:rPr>
                <w:rFonts w:ascii="Calibri" w:eastAsia="Times New Roman" w:hAnsi="Calibri" w:cs="Calibri"/>
                <w:sz w:val="28"/>
                <w:szCs w:val="28"/>
              </w:rPr>
              <w:t>205 of 1992</w:t>
            </w:r>
          </w:p>
        </w:tc>
      </w:tr>
    </w:tbl>
    <w:p w14:paraId="44A31E82"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61"/>
    <w:rsid w:val="007959F0"/>
    <w:rsid w:val="00D57761"/>
    <w:rsid w:val="00F5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1689E-7350-4C9C-ADC4-BF9AD10E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12">
      <w:bodyDiv w:val="1"/>
      <w:marLeft w:val="0"/>
      <w:marRight w:val="0"/>
      <w:marTop w:val="0"/>
      <w:marBottom w:val="0"/>
      <w:divBdr>
        <w:top w:val="none" w:sz="0" w:space="0" w:color="auto"/>
        <w:left w:val="none" w:sz="0" w:space="0" w:color="auto"/>
        <w:bottom w:val="none" w:sz="0" w:space="0" w:color="auto"/>
        <w:right w:val="none" w:sz="0" w:space="0" w:color="auto"/>
      </w:divBdr>
      <w:divsChild>
        <w:div w:id="728849183">
          <w:marLeft w:val="0"/>
          <w:marRight w:val="0"/>
          <w:marTop w:val="0"/>
          <w:marBottom w:val="0"/>
          <w:divBdr>
            <w:top w:val="none" w:sz="0" w:space="0" w:color="auto"/>
            <w:left w:val="none" w:sz="0" w:space="0" w:color="auto"/>
            <w:bottom w:val="none" w:sz="0" w:space="0" w:color="auto"/>
            <w:right w:val="none" w:sz="0" w:space="0" w:color="auto"/>
          </w:divBdr>
        </w:div>
        <w:div w:id="1954170878">
          <w:marLeft w:val="0"/>
          <w:marRight w:val="0"/>
          <w:marTop w:val="0"/>
          <w:marBottom w:val="0"/>
          <w:divBdr>
            <w:top w:val="none" w:sz="0" w:space="0" w:color="auto"/>
            <w:left w:val="none" w:sz="0" w:space="0" w:color="auto"/>
            <w:bottom w:val="none" w:sz="0" w:space="0" w:color="auto"/>
            <w:right w:val="none" w:sz="0" w:space="0" w:color="auto"/>
          </w:divBdr>
        </w:div>
        <w:div w:id="76749205">
          <w:marLeft w:val="0"/>
          <w:marRight w:val="0"/>
          <w:marTop w:val="0"/>
          <w:marBottom w:val="0"/>
          <w:divBdr>
            <w:top w:val="none" w:sz="0" w:space="0" w:color="auto"/>
            <w:left w:val="none" w:sz="0" w:space="0" w:color="auto"/>
            <w:bottom w:val="none" w:sz="0" w:space="0" w:color="auto"/>
            <w:right w:val="none" w:sz="0" w:space="0" w:color="auto"/>
          </w:divBdr>
        </w:div>
        <w:div w:id="1381058313">
          <w:marLeft w:val="0"/>
          <w:marRight w:val="0"/>
          <w:marTop w:val="0"/>
          <w:marBottom w:val="0"/>
          <w:divBdr>
            <w:top w:val="none" w:sz="0" w:space="0" w:color="auto"/>
            <w:left w:val="none" w:sz="0" w:space="0" w:color="auto"/>
            <w:bottom w:val="none" w:sz="0" w:space="0" w:color="auto"/>
            <w:right w:val="none" w:sz="0" w:space="0" w:color="auto"/>
          </w:divBdr>
          <w:divsChild>
            <w:div w:id="1634359414">
              <w:marLeft w:val="0"/>
              <w:marRight w:val="0"/>
              <w:marTop w:val="0"/>
              <w:marBottom w:val="0"/>
              <w:divBdr>
                <w:top w:val="none" w:sz="0" w:space="0" w:color="auto"/>
                <w:left w:val="none" w:sz="0" w:space="0" w:color="auto"/>
                <w:bottom w:val="none" w:sz="0" w:space="0" w:color="auto"/>
                <w:right w:val="none" w:sz="0" w:space="0" w:color="auto"/>
              </w:divBdr>
            </w:div>
          </w:divsChild>
        </w:div>
        <w:div w:id="256602943">
          <w:marLeft w:val="0"/>
          <w:marRight w:val="0"/>
          <w:marTop w:val="0"/>
          <w:marBottom w:val="0"/>
          <w:divBdr>
            <w:top w:val="none" w:sz="0" w:space="0" w:color="auto"/>
            <w:left w:val="none" w:sz="0" w:space="0" w:color="auto"/>
            <w:bottom w:val="none" w:sz="0" w:space="0" w:color="auto"/>
            <w:right w:val="none" w:sz="0" w:space="0" w:color="auto"/>
          </w:divBdr>
          <w:divsChild>
            <w:div w:id="1026905998">
              <w:marLeft w:val="0"/>
              <w:marRight w:val="0"/>
              <w:marTop w:val="0"/>
              <w:marBottom w:val="0"/>
              <w:divBdr>
                <w:top w:val="none" w:sz="0" w:space="0" w:color="auto"/>
                <w:left w:val="none" w:sz="0" w:space="0" w:color="auto"/>
                <w:bottom w:val="none" w:sz="0" w:space="0" w:color="auto"/>
                <w:right w:val="none" w:sz="0" w:space="0" w:color="auto"/>
              </w:divBdr>
            </w:div>
          </w:divsChild>
        </w:div>
        <w:div w:id="111442387">
          <w:marLeft w:val="0"/>
          <w:marRight w:val="0"/>
          <w:marTop w:val="0"/>
          <w:marBottom w:val="0"/>
          <w:divBdr>
            <w:top w:val="none" w:sz="0" w:space="0" w:color="auto"/>
            <w:left w:val="none" w:sz="0" w:space="0" w:color="auto"/>
            <w:bottom w:val="none" w:sz="0" w:space="0" w:color="auto"/>
            <w:right w:val="none" w:sz="0" w:space="0" w:color="auto"/>
          </w:divBdr>
        </w:div>
        <w:div w:id="1201823205">
          <w:marLeft w:val="0"/>
          <w:marRight w:val="0"/>
          <w:marTop w:val="0"/>
          <w:marBottom w:val="0"/>
          <w:divBdr>
            <w:top w:val="none" w:sz="0" w:space="0" w:color="auto"/>
            <w:left w:val="none" w:sz="0" w:space="0" w:color="auto"/>
            <w:bottom w:val="none" w:sz="0" w:space="0" w:color="auto"/>
            <w:right w:val="none" w:sz="0" w:space="0" w:color="auto"/>
          </w:divBdr>
        </w:div>
        <w:div w:id="612176506">
          <w:marLeft w:val="0"/>
          <w:marRight w:val="0"/>
          <w:marTop w:val="0"/>
          <w:marBottom w:val="0"/>
          <w:divBdr>
            <w:top w:val="none" w:sz="0" w:space="0" w:color="auto"/>
            <w:left w:val="none" w:sz="0" w:space="0" w:color="auto"/>
            <w:bottom w:val="none" w:sz="0" w:space="0" w:color="auto"/>
            <w:right w:val="none" w:sz="0" w:space="0" w:color="auto"/>
          </w:divBdr>
        </w:div>
        <w:div w:id="22479917">
          <w:marLeft w:val="0"/>
          <w:marRight w:val="0"/>
          <w:marTop w:val="0"/>
          <w:marBottom w:val="0"/>
          <w:divBdr>
            <w:top w:val="none" w:sz="0" w:space="0" w:color="auto"/>
            <w:left w:val="none" w:sz="0" w:space="0" w:color="auto"/>
            <w:bottom w:val="none" w:sz="0" w:space="0" w:color="auto"/>
            <w:right w:val="none" w:sz="0" w:space="0" w:color="auto"/>
          </w:divBdr>
          <w:divsChild>
            <w:div w:id="1569414681">
              <w:marLeft w:val="0"/>
              <w:marRight w:val="0"/>
              <w:marTop w:val="0"/>
              <w:marBottom w:val="0"/>
              <w:divBdr>
                <w:top w:val="none" w:sz="0" w:space="0" w:color="auto"/>
                <w:left w:val="none" w:sz="0" w:space="0" w:color="auto"/>
                <w:bottom w:val="none" w:sz="0" w:space="0" w:color="auto"/>
                <w:right w:val="none" w:sz="0" w:space="0" w:color="auto"/>
              </w:divBdr>
            </w:div>
          </w:divsChild>
        </w:div>
        <w:div w:id="842860693">
          <w:marLeft w:val="0"/>
          <w:marRight w:val="0"/>
          <w:marTop w:val="0"/>
          <w:marBottom w:val="0"/>
          <w:divBdr>
            <w:top w:val="none" w:sz="0" w:space="0" w:color="auto"/>
            <w:left w:val="none" w:sz="0" w:space="0" w:color="auto"/>
            <w:bottom w:val="none" w:sz="0" w:space="0" w:color="auto"/>
            <w:right w:val="none" w:sz="0" w:space="0" w:color="auto"/>
          </w:divBdr>
        </w:div>
        <w:div w:id="90203673">
          <w:marLeft w:val="0"/>
          <w:marRight w:val="0"/>
          <w:marTop w:val="0"/>
          <w:marBottom w:val="0"/>
          <w:divBdr>
            <w:top w:val="none" w:sz="0" w:space="0" w:color="auto"/>
            <w:left w:val="none" w:sz="0" w:space="0" w:color="auto"/>
            <w:bottom w:val="none" w:sz="0" w:space="0" w:color="auto"/>
            <w:right w:val="none" w:sz="0" w:space="0" w:color="auto"/>
          </w:divBdr>
        </w:div>
        <w:div w:id="1836148476">
          <w:marLeft w:val="0"/>
          <w:marRight w:val="0"/>
          <w:marTop w:val="0"/>
          <w:marBottom w:val="0"/>
          <w:divBdr>
            <w:top w:val="none" w:sz="0" w:space="0" w:color="auto"/>
            <w:left w:val="none" w:sz="0" w:space="0" w:color="auto"/>
            <w:bottom w:val="none" w:sz="0" w:space="0" w:color="auto"/>
            <w:right w:val="none" w:sz="0" w:space="0" w:color="auto"/>
          </w:divBdr>
        </w:div>
        <w:div w:id="32384177">
          <w:marLeft w:val="0"/>
          <w:marRight w:val="0"/>
          <w:marTop w:val="0"/>
          <w:marBottom w:val="0"/>
          <w:divBdr>
            <w:top w:val="none" w:sz="0" w:space="0" w:color="auto"/>
            <w:left w:val="none" w:sz="0" w:space="0" w:color="auto"/>
            <w:bottom w:val="none" w:sz="0" w:space="0" w:color="auto"/>
            <w:right w:val="none" w:sz="0" w:space="0" w:color="auto"/>
          </w:divBdr>
        </w:div>
        <w:div w:id="1653371273">
          <w:marLeft w:val="0"/>
          <w:marRight w:val="0"/>
          <w:marTop w:val="0"/>
          <w:marBottom w:val="0"/>
          <w:divBdr>
            <w:top w:val="none" w:sz="0" w:space="0" w:color="auto"/>
            <w:left w:val="none" w:sz="0" w:space="0" w:color="auto"/>
            <w:bottom w:val="none" w:sz="0" w:space="0" w:color="auto"/>
            <w:right w:val="none" w:sz="0" w:space="0" w:color="auto"/>
          </w:divBdr>
        </w:div>
        <w:div w:id="344984892">
          <w:marLeft w:val="0"/>
          <w:marRight w:val="0"/>
          <w:marTop w:val="0"/>
          <w:marBottom w:val="0"/>
          <w:divBdr>
            <w:top w:val="none" w:sz="0" w:space="0" w:color="auto"/>
            <w:left w:val="none" w:sz="0" w:space="0" w:color="auto"/>
            <w:bottom w:val="none" w:sz="0" w:space="0" w:color="auto"/>
            <w:right w:val="none" w:sz="0" w:space="0" w:color="auto"/>
          </w:divBdr>
        </w:div>
        <w:div w:id="71076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5" Type="http://schemas.openxmlformats.org/officeDocument/2006/relationships/hyperlink" Target="dps://1989_57s" TargetMode="External"/><Relationship Id="rId15"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4" Type="http://schemas.openxmlformats.org/officeDocument/2006/relationships/hyperlink" Target="dps://1993_350s"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2018-05-15T15:29:00Z</dcterms:created>
  <dcterms:modified xsi:type="dcterms:W3CDTF">2018-05-15T15:30:00Z</dcterms:modified>
</cp:coreProperties>
</file>